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502F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0346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bookmarkStart w:id="0" w:name="_GoBack"/>
      <w:bookmarkEnd w:id="0"/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211"/>
        <w:gridCol w:w="4785"/>
      </w:tblGrid>
      <w:tr w:rsidR="00E53C19" w:rsidRPr="00E53C19" w:rsidTr="002302CD">
        <w:tc>
          <w:tcPr>
            <w:tcW w:w="5211" w:type="dxa"/>
          </w:tcPr>
          <w:p w:rsidR="00E53C19" w:rsidRPr="00E53C19" w:rsidRDefault="00E53C19" w:rsidP="00E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3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проекте межевания  территории квартала района Царицыно ограниченного улицами: Тимуровская, Веселая, Товарищеская, </w:t>
            </w:r>
            <w:proofErr w:type="spellStart"/>
            <w:r w:rsidRPr="00E53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Севанская</w:t>
            </w:r>
            <w:proofErr w:type="spellEnd"/>
            <w:r w:rsidRPr="00E53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, Бакинская </w:t>
            </w:r>
          </w:p>
        </w:tc>
        <w:tc>
          <w:tcPr>
            <w:tcW w:w="4785" w:type="dxa"/>
          </w:tcPr>
          <w:p w:rsidR="00E53C19" w:rsidRPr="00E53C19" w:rsidRDefault="00E53C19" w:rsidP="00E53C1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53C19" w:rsidRPr="00E53C19" w:rsidRDefault="00E53C19" w:rsidP="00E53C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3C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 4 статьи 69 Закона города Москвы                      от 25 июля 2008 года № 28 «Градостроительный кодекс города Москвы», статьи 8 Закона города Москвы от 6 ноября 2002 года № 56 «Об организации местного самоуправления в городе Москве»,  подпункта д пункта  22 статьи  3 Устава </w:t>
      </w:r>
      <w:r w:rsidRPr="00E53C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 Царицыно, обращением префектуры  Южного административного округа города Москвы от 7 апреля 2015 года</w:t>
      </w:r>
      <w:proofErr w:type="gramEnd"/>
      <w:r w:rsidRPr="00E53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№ 01-53-2027/5 о рассмотрении и представлении предложений по проекту межевания</w:t>
      </w:r>
    </w:p>
    <w:p w:rsidR="00E53C19" w:rsidRPr="00E53C19" w:rsidRDefault="00E53C19" w:rsidP="00E53C1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E53C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3C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3C1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3C19"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E53C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связи с тем, что в представленных материалах п</w:t>
      </w:r>
      <w:r w:rsidRPr="00E53C19">
        <w:rPr>
          <w:rFonts w:ascii="Times New Roman" w:eastAsia="Times New Roman" w:hAnsi="Times New Roman" w:cs="Times New Roman"/>
          <w:sz w:val="28"/>
          <w:szCs w:val="28"/>
        </w:rPr>
        <w:t xml:space="preserve">о проекту межевания территории квартала района Царицыно </w:t>
      </w:r>
      <w:r w:rsidRPr="00E53C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ограниченного улицами:  </w:t>
      </w:r>
      <w:proofErr w:type="gramStart"/>
      <w:r w:rsidRPr="00E53C19">
        <w:rPr>
          <w:rFonts w:ascii="Times New Roman" w:eastAsia="Times New Roman" w:hAnsi="Times New Roman" w:cs="Times New Roman"/>
          <w:sz w:val="28"/>
          <w:szCs w:val="28"/>
          <w:lang w:eastAsia="en-US"/>
        </w:rPr>
        <w:t>Тимуровская</w:t>
      </w:r>
      <w:proofErr w:type="gramEnd"/>
      <w:r w:rsidRPr="00E53C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Веселая, Товарищеская, </w:t>
      </w:r>
      <w:proofErr w:type="spellStart"/>
      <w:r w:rsidRPr="00E53C19">
        <w:rPr>
          <w:rFonts w:ascii="Times New Roman" w:eastAsia="Times New Roman" w:hAnsi="Times New Roman" w:cs="Times New Roman"/>
          <w:sz w:val="28"/>
          <w:szCs w:val="28"/>
          <w:lang w:eastAsia="en-US"/>
        </w:rPr>
        <w:t>Севанская</w:t>
      </w:r>
      <w:proofErr w:type="spellEnd"/>
      <w:r w:rsidRPr="00E53C19">
        <w:rPr>
          <w:rFonts w:ascii="Times New Roman" w:eastAsia="Times New Roman" w:hAnsi="Times New Roman" w:cs="Times New Roman"/>
          <w:sz w:val="28"/>
          <w:szCs w:val="28"/>
          <w:lang w:eastAsia="en-US"/>
        </w:rPr>
        <w:t>, Бакинская некорректно названы участки просим внести следующие изменения:</w:t>
      </w: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участок 27 - вместо слов муниципалитет, муниципальное собрание - написать «аппарат Совета депутатов муниципального Царицыно, Совет депутатов муниципального округа Царицыно»;  </w:t>
      </w:r>
      <w:r w:rsidRPr="00E53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sz w:val="28"/>
          <w:szCs w:val="28"/>
        </w:rPr>
        <w:t>- участок 30</w:t>
      </w:r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t xml:space="preserve"> - вместо ГБУ Территориальный центр Социального обслуживания № 22 - написать ГБУ города Москвы Территориальный центр социального обслуживания «Царицынский»;</w:t>
      </w: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t xml:space="preserve">- участок 31 - следует именовать «Храм в честь Святого апостола </w:t>
      </w:r>
      <w:proofErr w:type="spellStart"/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t>первомученника</w:t>
      </w:r>
      <w:proofErr w:type="spellEnd"/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Архидиакона Стефана.</w:t>
      </w: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t xml:space="preserve">1.1. Включить в план межевания участка № 30 мемориальный Комплекс и Поклонный Крест, </w:t>
      </w:r>
      <w:proofErr w:type="gramStart"/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t>которых</w:t>
      </w:r>
      <w:proofErr w:type="gramEnd"/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нет в представленном проекте.</w:t>
      </w: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t xml:space="preserve">1.2. Границу межевания участка № 30 произвести на расстоянии одного метра от фундамента строения (здания) участок № 32 в сторону Храма с двух сторон, при этом сохранить площадь земельного участка, которая отведена под Храм в размере 500 </w:t>
      </w:r>
      <w:proofErr w:type="spellStart"/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t>кв.м</w:t>
      </w:r>
      <w:proofErr w:type="spellEnd"/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2. Предлагаем в  дальнейшем установить участки всех жилых домов на плане в полном соответствии с представленным на публичные слушания проектом межевания. </w:t>
      </w: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iCs/>
          <w:sz w:val="28"/>
          <w:szCs w:val="28"/>
        </w:rPr>
        <w:t>3. Депутатам Совета депутатов муниципального округа Царицыно принять участие в публичных слушаниях по проекту межевания территории квартала, указанного в п. 1 настоящего решения.</w:t>
      </w: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sz w:val="28"/>
          <w:szCs w:val="28"/>
        </w:rPr>
        <w:t>4. Направить настоящее решение в комиссию при Правительстве Москвы по вопросам градостроительства, землепользования и застройки  по Южному административному округу города Москвы, управу района Царицыно города Москвы.</w:t>
      </w:r>
      <w:r w:rsidRPr="00E53C19">
        <w:rPr>
          <w:rFonts w:ascii="Times New Roman" w:eastAsia="Times New Roman" w:hAnsi="Times New Roman" w:cs="Times New Roman"/>
          <w:sz w:val="28"/>
          <w:szCs w:val="28"/>
        </w:rPr>
        <w:tab/>
      </w:r>
      <w:r w:rsidRPr="00E53C19">
        <w:rPr>
          <w:rFonts w:ascii="Times New Roman" w:eastAsia="Times New Roman" w:hAnsi="Times New Roman" w:cs="Times New Roman"/>
          <w:sz w:val="28"/>
          <w:szCs w:val="28"/>
        </w:rPr>
        <w:tab/>
      </w:r>
      <w:r w:rsidRPr="00E53C19">
        <w:rPr>
          <w:rFonts w:ascii="Times New Roman" w:eastAsia="Times New Roman" w:hAnsi="Times New Roman" w:cs="Times New Roman"/>
          <w:sz w:val="28"/>
          <w:szCs w:val="28"/>
        </w:rPr>
        <w:tab/>
      </w:r>
      <w:r w:rsidRPr="00E53C19">
        <w:rPr>
          <w:rFonts w:ascii="Times New Roman" w:eastAsia="Times New Roman" w:hAnsi="Times New Roman" w:cs="Times New Roman"/>
          <w:sz w:val="28"/>
          <w:szCs w:val="28"/>
        </w:rPr>
        <w:tab/>
      </w:r>
      <w:r w:rsidRPr="00E53C19">
        <w:rPr>
          <w:rFonts w:ascii="Times New Roman" w:eastAsia="Times New Roman" w:hAnsi="Times New Roman" w:cs="Times New Roman"/>
          <w:sz w:val="28"/>
          <w:szCs w:val="28"/>
        </w:rPr>
        <w:tab/>
      </w:r>
      <w:r w:rsidRPr="00E53C19">
        <w:rPr>
          <w:rFonts w:ascii="Times New Roman" w:eastAsia="Times New Roman" w:hAnsi="Times New Roman" w:cs="Times New Roman"/>
          <w:sz w:val="28"/>
          <w:szCs w:val="28"/>
        </w:rPr>
        <w:tab/>
      </w:r>
      <w:r w:rsidRPr="00E53C19">
        <w:rPr>
          <w:rFonts w:ascii="Times New Roman" w:eastAsia="Times New Roman" w:hAnsi="Times New Roman" w:cs="Times New Roman"/>
          <w:sz w:val="28"/>
          <w:szCs w:val="28"/>
        </w:rPr>
        <w:tab/>
      </w:r>
      <w:r w:rsidRPr="00E53C19">
        <w:rPr>
          <w:rFonts w:ascii="Times New Roman" w:eastAsia="Times New Roman" w:hAnsi="Times New Roman" w:cs="Times New Roman"/>
          <w:sz w:val="28"/>
          <w:szCs w:val="28"/>
        </w:rPr>
        <w:tab/>
      </w:r>
      <w:r w:rsidRPr="00E53C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sz w:val="28"/>
          <w:szCs w:val="28"/>
        </w:rPr>
        <w:t xml:space="preserve"> 5.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E53C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3C19" w:rsidRPr="00E53C19" w:rsidRDefault="00E53C19" w:rsidP="00E5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E53C19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E53C19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E53C1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53C19" w:rsidRPr="00E53C19" w:rsidRDefault="00E53C19" w:rsidP="00E53C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C19" w:rsidRPr="00E53C19" w:rsidRDefault="00E53C19" w:rsidP="00E53C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C19" w:rsidRPr="00E53C19" w:rsidRDefault="00E53C19" w:rsidP="00E53C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C1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53C19" w:rsidRPr="00E53C19" w:rsidRDefault="00E53C19" w:rsidP="00E53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3C19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E5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C19" w:rsidRPr="00E53C19" w:rsidRDefault="00E53C19" w:rsidP="00E53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C19">
        <w:rPr>
          <w:rFonts w:ascii="Calibri" w:eastAsia="Times New Roman" w:hAnsi="Calibri" w:cs="Times New Roman"/>
          <w:b/>
          <w:bCs/>
        </w:rPr>
        <w:tab/>
      </w:r>
      <w:r w:rsidRPr="00E53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3C19" w:rsidRPr="00E53C19" w:rsidRDefault="00E53C19" w:rsidP="00E53C19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sectPr w:rsidR="00E53C19" w:rsidRPr="00E53C1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31" w:rsidRDefault="00DC4B31" w:rsidP="0007006C">
      <w:pPr>
        <w:spacing w:after="0" w:line="240" w:lineRule="auto"/>
      </w:pPr>
      <w:r>
        <w:separator/>
      </w:r>
    </w:p>
  </w:endnote>
  <w:endnote w:type="continuationSeparator" w:id="0">
    <w:p w:rsidR="00DC4B31" w:rsidRDefault="00DC4B3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31" w:rsidRDefault="00DC4B31" w:rsidP="0007006C">
      <w:pPr>
        <w:spacing w:after="0" w:line="240" w:lineRule="auto"/>
      </w:pPr>
      <w:r>
        <w:separator/>
      </w:r>
    </w:p>
  </w:footnote>
  <w:footnote w:type="continuationSeparator" w:id="0">
    <w:p w:rsidR="00DC4B31" w:rsidRDefault="00DC4B3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465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2E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2FF4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6B3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4B31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3C19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C43D-F7DA-4BC3-8F57-AAC0A268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2015-04-13T10:06:00Z</dcterms:modified>
</cp:coreProperties>
</file>